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214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7"/>
        <w:gridCol w:w="4607"/>
      </w:tblGrid>
      <w:tr>
        <w:trPr>
          <w:trHeight w:val="1774" w:hRule="atLeast"/>
        </w:trPr>
        <w:tc>
          <w:tcPr>
            <w:tcW w:w="4607" w:type="dxa"/>
            <w:tcBorders/>
            <w:shd w:fill="auto" w:val="clear"/>
          </w:tcPr>
          <w:p>
            <w:pPr>
              <w:pStyle w:val="Normal"/>
            </w:pPr>
            <w:r>
              <w:rPr>
                <w:rFonts w:cs="Tahoma" w:ascii="Tahoma" w:hAnsi="Tahoma"/>
              </w:rPr>
              <w:drawing>
                <wp:inline distT="0" distB="0" distL="0" distR="0">
                  <wp:extent cx="2553335" cy="855345"/>
                  <wp:effectExtent l="0" t="0" r="0" b="0"/>
                  <wp:docPr id="1" name="Picture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3335" cy="855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/>
          </w:p>
        </w:tc>
        <w:tc>
          <w:tcPr>
            <w:tcW w:w="4607" w:type="dxa"/>
            <w:tcBorders/>
            <w:shd w:fill="auto" w:val="clear"/>
          </w:tcPr>
          <w:p>
            <w:pPr>
              <w:pStyle w:val="Normal"/>
              <w:spacing w:lineRule="auto" w:line="360"/>
              <w:ind w:left="0" w:right="0" w:firstLine="612"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 xml:space="preserve">Verlag Voland &amp; Quist </w:t>
            </w: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OHG</w:t>
            </w:r>
            <w:r/>
          </w:p>
          <w:p>
            <w:pPr>
              <w:pStyle w:val="Normal"/>
              <w:spacing w:lineRule="auto" w:line="360"/>
              <w:ind w:left="0" w:right="0" w:firstLine="612"/>
              <w:rPr>
                <w:sz w:val="18"/>
                <w:sz w:val="18"/>
                <w:szCs w:val="18"/>
                <w:rFonts w:ascii="Tahoma" w:hAnsi="Tahoma" w:eastAsia="Times New Roman" w:cs="Tahoma"/>
                <w:color w:val="auto"/>
                <w:lang w:val="de-DE" w:eastAsia="zh-CN" w:bidi="ar-SA"/>
              </w:rPr>
            </w:pPr>
            <w:r>
              <w:rPr>
                <w:rFonts w:cs="Tahoma" w:ascii="Tahoma" w:hAnsi="Tahoma"/>
                <w:sz w:val="18"/>
                <w:szCs w:val="18"/>
              </w:rPr>
              <w:t>Bautzner Str. 22</w:t>
            </w:r>
            <w:r/>
          </w:p>
          <w:p>
            <w:pPr>
              <w:pStyle w:val="Normal"/>
              <w:spacing w:lineRule="auto" w:line="360"/>
              <w:ind w:left="0" w:right="0" w:firstLine="612"/>
            </w:pPr>
            <w:r>
              <w:rPr>
                <w:rFonts w:cs="Tahoma" w:ascii="Tahoma" w:hAnsi="Tahoma"/>
                <w:sz w:val="18"/>
                <w:szCs w:val="18"/>
              </w:rPr>
              <w:t>01099 Dresde</w:t>
            </w:r>
            <w:r>
              <w:rPr>
                <w:rFonts w:cs="Tahoma" w:ascii="Tahoma" w:hAnsi="Tahoma"/>
                <w:sz w:val="18"/>
                <w:szCs w:val="18"/>
              </w:rPr>
              <w:t>n</w:t>
            </w:r>
            <w:r/>
          </w:p>
          <w:p>
            <w:pPr>
              <w:pStyle w:val="Normal"/>
              <w:spacing w:lineRule="auto" w:line="360"/>
              <w:ind w:left="0" w:right="0" w:firstLine="612"/>
            </w:pPr>
            <w:r>
              <w:rPr>
                <w:rFonts w:cs="Tahoma" w:ascii="Tahoma" w:hAnsi="Tahoma"/>
                <w:b w:val="false"/>
                <w:bCs w:val="false"/>
                <w:sz w:val="18"/>
                <w:szCs w:val="18"/>
              </w:rPr>
              <w:t>www.voland-quist.de</w:t>
            </w:r>
            <w:r/>
          </w:p>
        </w:tc>
      </w:tr>
    </w:tbl>
    <w:p>
      <w:pPr>
        <w:pStyle w:val="Normal"/>
        <w:spacing w:before="280" w:after="280"/>
        <w:jc w:val="center"/>
      </w:pPr>
      <w:r>
        <w:rPr>
          <w:rFonts w:cs="Arial" w:ascii="Arial" w:hAnsi="Arial"/>
          <w:sz w:val="21"/>
          <w:szCs w:val="21"/>
        </w:rPr>
        <w:t>NORA GOMRINGER BEIM BACHMANNPREIS 2015</w:t>
      </w:r>
      <w:r/>
    </w:p>
    <w:p>
      <w:pPr>
        <w:pStyle w:val="Normal"/>
        <w:autoSpaceDE w:val="false"/>
      </w:pPr>
      <w:r>
        <w:rPr>
          <w:rFonts w:cs="Arial;Italic" w:ascii="Arial;Italic" w:hAnsi="Arial;Italic"/>
          <w:i/>
          <w:iCs/>
          <w:sz w:val="21"/>
          <w:szCs w:val="21"/>
        </w:rPr>
        <w:t xml:space="preserve">Dresden/Leipzig, </w:t>
      </w:r>
      <w:r>
        <w:rPr>
          <w:rFonts w:cs="Arial;Italic" w:ascii="Arial;Italic" w:hAnsi="Arial;Italic"/>
          <w:i/>
          <w:iCs/>
          <w:sz w:val="21"/>
          <w:szCs w:val="21"/>
        </w:rPr>
        <w:t>28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.05.2015: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Die Lyrikerin und Voland &amp; Quist-Autorin Nora Gomringer wird dieses Jahr an den Tagen der deutschsprachigen Literatur in Klagenfurt </w:t>
      </w:r>
      <w:r>
        <w:rPr>
          <w:rFonts w:cs="Arial;Italic" w:ascii="Arial;Italic" w:hAnsi="Arial;Italic"/>
          <w:i/>
          <w:iCs/>
          <w:sz w:val="21"/>
          <w:szCs w:val="21"/>
        </w:rPr>
        <w:t xml:space="preserve">(01.-05.07.2015) </w:t>
      </w:r>
      <w:r>
        <w:rPr>
          <w:rFonts w:cs="Arial;Italic" w:ascii="Arial;Italic" w:hAnsi="Arial;Italic"/>
          <w:i/>
          <w:iCs/>
          <w:sz w:val="21"/>
          <w:szCs w:val="21"/>
        </w:rPr>
        <w:t>teilnehmen.</w:t>
      </w:r>
      <w:r/>
    </w:p>
    <w:p>
      <w:pPr>
        <w:pStyle w:val="Normal"/>
        <w:autoSpaceDE w:val="false"/>
        <w:rPr>
          <w:sz w:val="21"/>
          <w:i/>
          <w:sz w:val="21"/>
          <w:i/>
          <w:szCs w:val="21"/>
          <w:iCs/>
          <w:rFonts w:ascii="Arial;Italic" w:hAnsi="Arial;Italic" w:eastAsia="Times New Roman" w:cs="Arial;Italic"/>
          <w:color w:val="auto"/>
          <w:lang w:val="de-DE" w:eastAsia="zh-CN" w:bidi="ar-SA"/>
        </w:rPr>
      </w:pPr>
      <w:r>
        <w:rPr>
          <w:rFonts w:cs="Arial;Italic" w:ascii="Arial;Italic" w:hAnsi="Arial;Italic"/>
          <w:i/>
          <w:iCs/>
          <w:sz w:val="21"/>
          <w:szCs w:val="21"/>
        </w:rPr>
      </w:r>
      <w:r/>
    </w:p>
    <w:p>
      <w:pPr>
        <w:pStyle w:val="Normal"/>
        <w:autoSpaceDE w:val="false"/>
        <w:rPr>
          <w:sz w:val="21"/>
          <w:i/>
          <w:sz w:val="21"/>
          <w:i/>
          <w:szCs w:val="21"/>
          <w:iCs/>
          <w:rFonts w:ascii="Arial;Italic" w:hAnsi="Arial;Italic" w:eastAsia="Times New Roman" w:cs="Arial;Italic"/>
          <w:color w:val="auto"/>
          <w:lang w:val="de-DE" w:eastAsia="zh-CN" w:bidi="ar-SA"/>
        </w:rPr>
      </w:pPr>
      <w:r>
        <w:rPr>
          <w:rFonts w:cs="Arial;Italic" w:ascii="Arial;Italic" w:hAnsi="Arial;Italic"/>
          <w:i/>
          <w:iCs/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sz w:val="21"/>
          <w:szCs w:val="21"/>
        </w:rPr>
        <w:t>Die Teilnehmer des Bachmannpreises 2015 wurden heute</w:t>
      </w:r>
      <w:r>
        <w:rPr>
          <w:rFonts w:cs="Arial" w:ascii="Arial" w:hAnsi="Arial"/>
          <w:sz w:val="21"/>
          <w:szCs w:val="21"/>
        </w:rPr>
        <w:t xml:space="preserve"> </w:t>
      </w:r>
      <w:r>
        <w:rPr>
          <w:rFonts w:cs="Arial" w:ascii="Arial" w:hAnsi="Arial"/>
          <w:sz w:val="21"/>
          <w:szCs w:val="21"/>
        </w:rPr>
        <w:t xml:space="preserve">offiziell bekannt gegeben, </w:t>
      </w:r>
      <w:r>
        <w:rPr>
          <w:rFonts w:cs="Arial" w:ascii="Arial" w:hAnsi="Arial"/>
          <w:sz w:val="21"/>
          <w:szCs w:val="21"/>
        </w:rPr>
        <w:t xml:space="preserve">und </w:t>
      </w:r>
      <w:r>
        <w:rPr>
          <w:rFonts w:cs="Arial" w:ascii="Arial" w:hAnsi="Arial"/>
          <w:sz w:val="21"/>
          <w:szCs w:val="21"/>
        </w:rPr>
        <w:t xml:space="preserve">Voland &amp; Quist freut sich </w:t>
      </w:r>
      <w:r>
        <w:rPr>
          <w:rFonts w:cs="Arial" w:ascii="Arial" w:hAnsi="Arial"/>
          <w:sz w:val="21"/>
          <w:szCs w:val="21"/>
        </w:rPr>
        <w:t xml:space="preserve">sehr </w:t>
      </w:r>
      <w:r>
        <w:rPr>
          <w:rFonts w:cs="Arial" w:ascii="Arial" w:hAnsi="Arial"/>
          <w:sz w:val="21"/>
          <w:szCs w:val="21"/>
        </w:rPr>
        <w:t xml:space="preserve">über die Einladung von Nora Gomringer durch die Literaturkritikerin Sandra Kegel. </w:t>
      </w:r>
      <w:r>
        <w:rPr>
          <w:rFonts w:cs="Arial" w:ascii="Arial" w:hAnsi="Arial"/>
          <w:sz w:val="21"/>
          <w:szCs w:val="21"/>
        </w:rPr>
        <w:t xml:space="preserve">Die vollständige Liste der Teilnehmer finden Sie hier: </w:t>
      </w:r>
      <w:r>
        <w:rPr>
          <w:rFonts w:cs="Arial" w:ascii="Arial" w:hAnsi="Arial"/>
          <w:sz w:val="21"/>
          <w:szCs w:val="21"/>
        </w:rPr>
        <w:t>http://bachmannpreis.orf.at/tags/autoren/.</w:t>
      </w:r>
      <w:r/>
    </w:p>
    <w:p>
      <w:pPr>
        <w:pStyle w:val="Normal"/>
        <w:autoSpaceDE w:val="false"/>
        <w:rPr>
          <w:rFonts w:ascii="Arial" w:hAnsi="Arial" w:cs="Arial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sz w:val="21"/>
          <w:szCs w:val="21"/>
        </w:rPr>
        <w:t xml:space="preserve">Nora Gomringer hat </w:t>
      </w:r>
      <w:r>
        <w:rPr>
          <w:rFonts w:cs="Arial" w:ascii="Arial" w:hAnsi="Arial"/>
          <w:sz w:val="21"/>
          <w:szCs w:val="21"/>
        </w:rPr>
        <w:t>mehrere</w:t>
      </w:r>
      <w:r>
        <w:rPr>
          <w:rFonts w:cs="Arial" w:ascii="Arial" w:hAnsi="Arial"/>
          <w:sz w:val="21"/>
          <w:szCs w:val="21"/>
        </w:rPr>
        <w:t xml:space="preserve"> Lyrikbände vorgelegt und schreibt für Rundfunk und Feuilleton. Zuletzt veröffentlichte sie </w:t>
      </w:r>
      <w:r>
        <w:rPr>
          <w:rFonts w:cs="Arial" w:ascii="Arial" w:hAnsi="Arial"/>
          <w:sz w:val="21"/>
          <w:szCs w:val="21"/>
        </w:rPr>
        <w:t>die illustrierten Gedichtbände</w:t>
      </w:r>
      <w:r>
        <w:rPr>
          <w:rFonts w:cs="Arial" w:ascii="Arial" w:hAnsi="Arial"/>
          <w:sz w:val="21"/>
          <w:szCs w:val="21"/>
        </w:rPr>
        <w:t xml:space="preserve"> „Monster Poems“ </w:t>
      </w:r>
      <w:r>
        <w:rPr>
          <w:rFonts w:cs="Arial" w:ascii="Arial" w:hAnsi="Arial"/>
          <w:sz w:val="21"/>
          <w:szCs w:val="21"/>
        </w:rPr>
        <w:t xml:space="preserve">und „Morbus“ bei </w:t>
      </w:r>
      <w:r>
        <w:rPr>
          <w:rFonts w:cs="Arial" w:ascii="Arial" w:hAnsi="Arial"/>
          <w:sz w:val="21"/>
          <w:szCs w:val="21"/>
        </w:rPr>
        <w:t>Voland &amp; Quist. „Sag doch mal was zur Nacht“ und „Klimaforschung“ wurden ins Schwedische bzw. Französische übersetzt. Für Goethe Institut und Pro Helv</w:t>
      </w:r>
      <w:r>
        <w:rPr>
          <w:rFonts w:cs="Arial" w:ascii="Arial" w:hAnsi="Arial"/>
          <w:sz w:val="21"/>
          <w:szCs w:val="21"/>
        </w:rPr>
        <w:t>e</w:t>
      </w:r>
      <w:r>
        <w:rPr>
          <w:rFonts w:cs="Arial" w:ascii="Arial" w:hAnsi="Arial"/>
          <w:sz w:val="21"/>
          <w:szCs w:val="21"/>
        </w:rPr>
        <w:t>t</w:t>
      </w:r>
      <w:r>
        <w:rPr>
          <w:rFonts w:cs="Arial" w:ascii="Arial" w:hAnsi="Arial"/>
          <w:sz w:val="21"/>
          <w:szCs w:val="21"/>
        </w:rPr>
        <w:t>i</w:t>
      </w:r>
      <w:r>
        <w:rPr>
          <w:rFonts w:cs="Arial" w:ascii="Arial" w:hAnsi="Arial"/>
          <w:sz w:val="21"/>
          <w:szCs w:val="21"/>
        </w:rPr>
        <w:t>a reist sie um die (Literatur-)Welt. Sie war Poetikdozentin an den Universitäten Koblenz-Landau, Sheffield und Kiel. Neben zahlreichen anderen Auszeich-nungen sowie Aufenthaltsstipendien in Venedig, New York, Berlin, Ahrenshoop, Krems und Novosibirsk wurde ihr 2011 der Jacob-Grimm-Preis als Teil des Kulturpreises Deutsche Sprache und 2012 der Joachim-Ringelnatz-Preis für Lyrik zuerkannt. 2015 erhielt sie den Weilheimer Literaturpreis.</w:t>
      </w:r>
      <w:r/>
    </w:p>
    <w:p>
      <w:pPr>
        <w:pStyle w:val="Normal"/>
        <w:autoSpaceDE w:val="false"/>
        <w:rPr>
          <w:sz w:val="21"/>
          <w:sz w:val="21"/>
          <w:szCs w:val="21"/>
          <w:rFonts w:ascii="Times New Roman" w:hAnsi="Times New Roman" w:eastAsia="Times New Roman" w:cs="Times New Roman"/>
          <w:color w:val="auto"/>
          <w:lang w:val="de-DE" w:eastAsia="zh-CN" w:bidi="ar-SA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b/>
          <w:bCs/>
          <w:i w:val="false"/>
          <w:iCs w:val="false"/>
          <w:color w:val="auto"/>
          <w:sz w:val="21"/>
          <w:szCs w:val="21"/>
          <w:lang w:val="de-DE" w:eastAsia="zh-CN" w:bidi="ar-SA"/>
        </w:rPr>
        <w:t>Veröffentlichungen</w:t>
      </w:r>
      <w:r>
        <w:rPr>
          <w:rFonts w:eastAsia="Times New Roman" w:cs="Arial" w:ascii="Arial" w:hAnsi="Arial"/>
          <w:b/>
          <w:bCs/>
          <w:i w:val="false"/>
          <w:iCs w:val="false"/>
          <w:color w:val="auto"/>
          <w:sz w:val="21"/>
          <w:szCs w:val="21"/>
          <w:lang w:val="de-DE" w:eastAsia="zh-CN" w:bidi="ar-SA"/>
        </w:rPr>
        <w:t xml:space="preserve"> bei Voland &amp; Quist</w:t>
      </w:r>
      <w:r/>
    </w:p>
    <w:p>
      <w:pPr>
        <w:pStyle w:val="Normal"/>
        <w:autoSpaceDE w:val="false"/>
        <w:rPr>
          <w:sz w:val="21"/>
          <w:sz w:val="21"/>
          <w:szCs w:val="21"/>
          <w:rFonts w:ascii="Times New Roman" w:hAnsi="Times New Roman" w:eastAsia="Times New Roman" w:cs="Times New Roman"/>
          <w:color w:val="auto"/>
          <w:lang w:val="de-DE" w:eastAsia="zh-CN" w:bidi="ar-SA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2006: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Sag doch mal was zur Nacht (Gedichte, vergriffen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2008: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Klimaforschung (Gedichte, vergriffen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2010: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Nachrichten aus der Luft (Gedichte, vergriffen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2011: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Ich werde etwas mit der Sprache machen (Essays, Reden,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A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rtikel)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2011: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Mein Gedicht fragt nicht lange (Sammelband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Gedichte, vergriffen)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2013: Monster Poems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(Gedichte)</w:t>
      </w:r>
      <w:r/>
    </w:p>
    <w:p>
      <w:pPr>
        <w:pStyle w:val="Normal"/>
        <w:autoSpaceDE w:val="false"/>
        <w:rPr>
          <w:sz w:val="21"/>
          <w:sz w:val="21"/>
          <w:szCs w:val="21"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2014: Wie sag ich Wunder (CD mit dem Wortart Ensemble)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2015: Morbus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(Gedichte)</w:t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2015: Mein Gedicht fragt nicht lange reloaded (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 xml:space="preserve">Sammelband Gedichte, </w:t>
      </w: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  <w:t>erscheint Juni 2015)</w:t>
      </w:r>
      <w:r/>
    </w:p>
    <w:p>
      <w:pPr>
        <w:pStyle w:val="Normal"/>
        <w:autoSpaceDE w:val="false"/>
        <w:rPr>
          <w:sz w:val="21"/>
          <w:sz w:val="21"/>
          <w:szCs w:val="21"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eastAsia="Times New Roman" w:cs="Arial" w:ascii="Arial" w:hAnsi="Arial"/>
          <w:color w:val="auto"/>
          <w:sz w:val="21"/>
          <w:szCs w:val="21"/>
          <w:lang w:val="de-DE" w:eastAsia="zh-CN" w:bidi="ar-SA"/>
        </w:rPr>
      </w:r>
      <w:r/>
    </w:p>
    <w:p>
      <w:pPr>
        <w:pStyle w:val="Normal"/>
        <w:autoSpaceDE w:val="false"/>
      </w:pP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(Die vergriffenen Gedichtbände „Sag doch mal was zur Nacht“, „Klimaforschung“ sowie „Nachrichten aus der Luft“ wurden in den Sammelbänden „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 xml:space="preserve">Mein Gedicht fragt nicht lange“ 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bzw. „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 xml:space="preserve">Mein Gedicht fragt nicht lange 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reloaded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 xml:space="preserve">“ </w:t>
      </w:r>
      <w:r>
        <w:rPr>
          <w:rFonts w:eastAsia="Times New Roman" w:cs="Arial" w:ascii="Arial" w:hAnsi="Arial"/>
          <w:b w:val="false"/>
          <w:bCs w:val="false"/>
          <w:color w:val="auto"/>
          <w:sz w:val="21"/>
          <w:szCs w:val="21"/>
          <w:lang w:val="de-DE" w:eastAsia="zh-CN" w:bidi="ar-SA"/>
        </w:rPr>
        <w:t>neu aufgelegt.)</w:t>
      </w:r>
      <w:r/>
    </w:p>
    <w:p>
      <w:pPr>
        <w:pStyle w:val="Normal"/>
        <w:rPr>
          <w:sz w:val="21"/>
          <w:sz w:val="21"/>
          <w:szCs w:val="21"/>
          <w:rFonts w:ascii="Times New Roman" w:hAnsi="Times New Roman" w:eastAsia="Times New Roman" w:cs="Times New Roman"/>
          <w:color w:val="auto"/>
          <w:lang w:val="de-DE" w:eastAsia="zh-CN" w:bidi="ar-SA"/>
        </w:rPr>
      </w:pPr>
      <w:r>
        <w:rPr>
          <w:sz w:val="21"/>
          <w:szCs w:val="21"/>
        </w:rPr>
      </w:r>
      <w:r/>
    </w:p>
    <w:p>
      <w:pPr>
        <w:pStyle w:val="Normal"/>
        <w:autoSpaceDE w:val="false"/>
      </w:pPr>
      <w:r>
        <w:rPr>
          <w:rFonts w:cs="Arial" w:ascii="Arial" w:hAnsi="Arial"/>
          <w:i/>
          <w:iCs/>
          <w:sz w:val="21"/>
          <w:szCs w:val="21"/>
        </w:rPr>
        <w:t xml:space="preserve">Anbei finden Sie ein honorarfreies Foto von Nora Gomringer (Fotoachweis: Judith Kinitz). </w:t>
      </w:r>
      <w:r>
        <w:rPr>
          <w:rFonts w:cs="Arial" w:ascii="Arial" w:hAnsi="Arial"/>
          <w:i/>
          <w:iCs/>
          <w:sz w:val="21"/>
          <w:szCs w:val="21"/>
        </w:rPr>
        <w:t xml:space="preserve">Gerne schicken wir Ihnen Leseexemplare </w:t>
      </w:r>
      <w:r>
        <w:rPr>
          <w:rFonts w:cs="Arial" w:ascii="Arial" w:hAnsi="Arial"/>
          <w:i/>
          <w:iCs/>
          <w:sz w:val="21"/>
          <w:szCs w:val="21"/>
        </w:rPr>
        <w:t>ihrer Bücher</w:t>
      </w:r>
      <w:r>
        <w:rPr>
          <w:rFonts w:cs="Arial" w:ascii="Arial" w:hAnsi="Arial"/>
          <w:i/>
          <w:iCs/>
          <w:sz w:val="21"/>
          <w:szCs w:val="21"/>
        </w:rPr>
        <w:t xml:space="preserve"> zu </w:t>
      </w:r>
      <w:r>
        <w:rPr>
          <w:rFonts w:cs="Arial" w:ascii="Arial" w:hAnsi="Arial"/>
          <w:i/>
          <w:iCs/>
          <w:sz w:val="21"/>
          <w:szCs w:val="21"/>
        </w:rPr>
        <w:t>oder</w:t>
      </w:r>
      <w:r>
        <w:rPr>
          <w:rFonts w:cs="Arial" w:ascii="Arial" w:hAnsi="Arial"/>
          <w:i/>
          <w:iCs/>
          <w:sz w:val="21"/>
          <w:szCs w:val="21"/>
        </w:rPr>
        <w:t xml:space="preserve"> kümmern uns um die Organisation von Interviewterminen. </w:t>
      </w:r>
      <w:r>
        <w:rPr>
          <w:rFonts w:cs="Arial" w:ascii="Arial" w:hAnsi="Arial"/>
          <w:i/>
          <w:iCs/>
          <w:sz w:val="21"/>
          <w:szCs w:val="21"/>
        </w:rPr>
        <w:t>Bitte wenden Sie sich an:</w:t>
      </w:r>
      <w:r>
        <w:rPr>
          <w:rFonts w:cs="Arial" w:ascii="Arial" w:hAnsi="Arial"/>
          <w:i/>
          <w:iCs/>
          <w:sz w:val="21"/>
          <w:szCs w:val="21"/>
        </w:rPr>
        <w:t xml:space="preserve"> </w:t>
      </w:r>
      <w:r/>
    </w:p>
    <w:p>
      <w:pPr>
        <w:pStyle w:val="Normal"/>
        <w:spacing w:before="280" w:after="280"/>
        <w:rPr>
          <w:sz w:val="20"/>
          <w:b/>
          <w:sz w:val="20"/>
          <w:b/>
          <w:szCs w:val="20"/>
          <w:bCs/>
          <w:rFonts w:ascii="Arial" w:hAnsi="Arial" w:cs="Arial"/>
        </w:rPr>
      </w:pPr>
      <w:r>
        <w:rPr>
          <w:rFonts w:cs="Arial" w:ascii="Arial" w:hAnsi="Arial"/>
          <w:sz w:val="21"/>
          <w:szCs w:val="21"/>
        </w:rPr>
        <w:t>Verlag Voland &amp; Quist</w:t>
        <w:br/>
        <w:t>Sebastian Wolter</w:t>
        <w:br/>
        <w:t>Erich-Zeigner-Allee 64a</w:t>
        <w:br/>
        <w:t>04229 Leipzig</w:t>
        <w:br/>
        <w:t>tel +49/(0)341/60 47 98 75</w:t>
        <w:br/>
        <w:t>fax +49/(0)341/60 47 98 76</w:t>
        <w:br/>
      </w:r>
      <w:r>
        <w:rPr>
          <w:rStyle w:val="Internetlink"/>
          <w:rFonts w:cs="Arial" w:ascii="Arial" w:hAnsi="Arial"/>
          <w:sz w:val="21"/>
          <w:szCs w:val="21"/>
          <w:u w:val="none"/>
        </w:rPr>
        <w:t>wolter@voland-quist.de</w:t>
      </w:r>
      <w:r/>
    </w:p>
    <w:p>
      <w:pPr>
        <w:pStyle w:val="Normal"/>
        <w:spacing w:before="280" w:after="280"/>
        <w:rPr>
          <w:sz w:val="21"/>
          <w:b/>
          <w:sz w:val="21"/>
          <w:b/>
          <w:szCs w:val="21"/>
          <w:bCs/>
          <w:rFonts w:ascii="Arial" w:hAnsi="Arial" w:eastAsia="Times New Roman" w:cs="Arial"/>
          <w:color w:val="auto"/>
          <w:lang w:val="de-DE" w:eastAsia="zh-CN" w:bidi="ar-SA"/>
        </w:rPr>
      </w:pPr>
      <w:r>
        <w:rPr>
          <w:rFonts w:cs="Arial" w:ascii="Arial" w:hAnsi="Arial"/>
          <w:b/>
          <w:bCs/>
          <w:sz w:val="21"/>
          <w:szCs w:val="21"/>
        </w:rPr>
        <w:t>Links</w:t>
      </w:r>
      <w:r/>
    </w:p>
    <w:p>
      <w:pPr>
        <w:pStyle w:val="Normal"/>
        <w:spacing w:before="280" w:after="280"/>
      </w:pPr>
      <w:r>
        <w:rPr>
          <w:rFonts w:cs="Arial" w:ascii="Arial" w:hAnsi="Arial"/>
          <w:sz w:val="21"/>
          <w:szCs w:val="21"/>
        </w:rPr>
        <w:t>Website: http://www.nora-gomringer.de/</w:t>
      </w:r>
      <w:r>
        <w:rPr>
          <w:rFonts w:cs="Arial" w:ascii="Arial" w:hAnsi="Arial"/>
          <w:sz w:val="21"/>
          <w:szCs w:val="21"/>
        </w:rPr>
        <w:br/>
      </w:r>
      <w:r>
        <w:rPr>
          <w:rFonts w:cs="Arial" w:ascii="Arial" w:hAnsi="Arial"/>
          <w:sz w:val="21"/>
          <w:szCs w:val="21"/>
        </w:rPr>
        <w:t>Bücher: https://www.voland-quist.de/buecher/?filtername=book_author&amp;filtervalue=111</w:t>
        <w:br/>
        <w:t>Profilseite Bachmannpreis: http://bachmannpreis.orf.at/stories/2709007/</w:t>
      </w:r>
      <w:r/>
    </w:p>
    <w:p>
      <w:pPr>
        <w:pStyle w:val="Normal"/>
        <w:spacing w:before="280" w:after="280"/>
      </w:pPr>
      <w:r>
        <w:rPr>
          <w:rFonts w:cs="Arial" w:ascii="Arial" w:hAnsi="Arial"/>
          <w:b/>
          <w:bCs/>
          <w:sz w:val="21"/>
          <w:szCs w:val="21"/>
        </w:rPr>
        <w:t>Über Voland &amp; Quist</w:t>
      </w:r>
      <w:r/>
    </w:p>
    <w:p>
      <w:pPr>
        <w:pStyle w:val="Normal"/>
        <w:spacing w:before="280" w:after="280"/>
      </w:pPr>
      <w:r>
        <w:rPr>
          <w:rFonts w:cs="Arial" w:ascii="Arial" w:hAnsi="Arial"/>
          <w:sz w:val="21"/>
          <w:szCs w:val="21"/>
        </w:rPr>
        <w:t>Voland &amp; Quist ist ein Independent-Verlag und veröffentlicht junge zeitgenössische Literatur. Mittlerweile sind in zehn Jahren 100 Titel erschienen, die meisten als Buch mit CD oder DVD mit Lesungen der Autoren. Programmschwerpunkte sind Lesebühnenliteratur, Spoken-Word-Lyrik, Kinderbücher, Comedy sowie Romane und Erzählungen junger osteuropäischer Autoren. Verlegt werden z.B. Bücher von Ahne, Nora Gomringer, Kirsten Fuchs, Marc-Uwe Kling, Bas Böttcher, Jochen Schmidt, Viktor Martinowitsch, Jaroslav Rudis und Lydia Daher. 2007 erhielt der Verlag den Arras Preis, 2010 wurde er mit dem Kurt-Wolff-Förderpreis ausgezeichnet.</w:t>
      </w:r>
      <w:r/>
    </w:p>
    <w:sectPr>
      <w:type w:val="nextPage"/>
      <w:pgSz w:w="11906" w:h="16838"/>
      <w:pgMar w:left="1418" w:right="1418" w:header="0" w:top="1418" w:footer="0" w:bottom="1134" w:gutter="0"/>
      <w:pgNumType w:fmt="decimal"/>
      <w:formProt w:val="false"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Symbol">
    <w:charset w:val="01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Dolly-Roman">
    <w:charset w:val="00"/>
    <w:family w:val="auto"/>
    <w:pitch w:val="default"/>
  </w:font>
  <w:font w:name="Arial Unicode MS">
    <w:charset w:val="80"/>
    <w:family w:val="swiss"/>
    <w:pitch w:val="variable"/>
  </w:font>
  <w:font w:name="Tahoma">
    <w:charset w:val="00"/>
    <w:family w:val="roman"/>
    <w:pitch w:val="variable"/>
  </w:font>
  <w:font w:name="Arial">
    <w:charset w:val="80"/>
    <w:family w:val="swiss"/>
    <w:pitch w:val="variable"/>
  </w:font>
  <w:font w:name="Arial">
    <w:altName w:val="Italic"/>
    <w:charset w:val="00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de-DE" w:eastAsia="zh-CN" w:bidi="ar-SA"/>
    </w:rPr>
  </w:style>
  <w:style w:type="paragraph" w:styleId="Berschrift1">
    <w:name w:val="Überschrift 1"/>
    <w:basedOn w:val="Normal"/>
    <w:next w:val="Normal"/>
    <w:pPr>
      <w:keepNext/>
      <w:numPr>
        <w:ilvl w:val="0"/>
        <w:numId w:val="2"/>
      </w:numPr>
      <w:jc w:val="center"/>
      <w:outlineLvl w:val="0"/>
      <w:outlineLvl w:val="0"/>
    </w:pPr>
    <w:rPr>
      <w:rFonts w:ascii="Tahoma" w:hAnsi="Tahoma" w:cs="Tahoma"/>
      <w:b/>
      <w:bCs/>
    </w:rPr>
  </w:style>
  <w:style w:type="paragraph" w:styleId="Berschrift2">
    <w:name w:val="Überschrift 2"/>
    <w:basedOn w:val="Normal"/>
    <w:next w:val="Normal"/>
    <w:pPr>
      <w:keepNext/>
      <w:widowControl w:val="false"/>
      <w:numPr>
        <w:ilvl w:val="1"/>
        <w:numId w:val="2"/>
      </w:numPr>
      <w:autoSpaceDE w:val="false"/>
      <w:jc w:val="center"/>
      <w:outlineLvl w:val="1"/>
      <w:outlineLvl w:val="1"/>
    </w:pPr>
    <w:rPr>
      <w:rFonts w:ascii="Tahoma" w:hAnsi="Tahoma" w:cs="Tahoma"/>
      <w:i/>
      <w:iCs/>
      <w:szCs w:val="22"/>
    </w:rPr>
  </w:style>
  <w:style w:type="character" w:styleId="WW8Num1z0">
    <w:name w:val="WW8Num1z0"/>
    <w:rPr/>
  </w:style>
  <w:style w:type="character" w:styleId="WW8Num1z1">
    <w:name w:val="WW8Num1z1"/>
    <w:rPr/>
  </w:style>
  <w:style w:type="character" w:styleId="WW8Num1z2">
    <w:name w:val="WW8Num1z2"/>
    <w:rPr/>
  </w:style>
  <w:style w:type="character" w:styleId="WW8Num1z3">
    <w:name w:val="WW8Num1z3"/>
    <w:rPr/>
  </w:style>
  <w:style w:type="character" w:styleId="WW8Num1z4">
    <w:name w:val="WW8Num1z4"/>
    <w:rPr/>
  </w:style>
  <w:style w:type="character" w:styleId="WW8Num1z5">
    <w:name w:val="WW8Num1z5"/>
    <w:rPr/>
  </w:style>
  <w:style w:type="character" w:styleId="WW8Num1z6">
    <w:name w:val="WW8Num1z6"/>
    <w:rPr/>
  </w:style>
  <w:style w:type="character" w:styleId="WW8Num1z7">
    <w:name w:val="WW8Num1z7"/>
    <w:rPr/>
  </w:style>
  <w:style w:type="character" w:styleId="WW8Num1z8">
    <w:name w:val="WW8Num1z8"/>
    <w:rPr/>
  </w:style>
  <w:style w:type="character" w:styleId="WW8Num1zfalse">
    <w:name w:val="WW8Num1zfalse"/>
    <w:rPr/>
  </w:style>
  <w:style w:type="character" w:styleId="WW8Num1ztrue">
    <w:name w:val="WW8Num1ztrue"/>
    <w:rPr/>
  </w:style>
  <w:style w:type="character" w:styleId="WWWW8Num1ztrue">
    <w:name w:val="WW-WW8Num1ztrue"/>
    <w:rPr/>
  </w:style>
  <w:style w:type="character" w:styleId="WWWW8Num1ztrue1">
    <w:name w:val="WW-WW8Num1ztrue1"/>
    <w:rPr/>
  </w:style>
  <w:style w:type="character" w:styleId="WWWW8Num1ztrue2">
    <w:name w:val="WW-WW8Num1ztrue2"/>
    <w:rPr/>
  </w:style>
  <w:style w:type="character" w:styleId="WWWW8Num1ztrue3">
    <w:name w:val="WW-WW8Num1ztrue3"/>
    <w:rPr/>
  </w:style>
  <w:style w:type="character" w:styleId="WWWW8Num1ztrue4">
    <w:name w:val="WW-WW8Num1ztrue4"/>
    <w:rPr/>
  </w:style>
  <w:style w:type="character" w:styleId="WWWW8Num1ztrue5">
    <w:name w:val="WW-WW8Num1ztrue5"/>
    <w:rPr/>
  </w:style>
  <w:style w:type="character" w:styleId="WWWW8Num1ztrue6">
    <w:name w:val="WW-WW8Num1ztrue6"/>
    <w:rPr/>
  </w:style>
  <w:style w:type="character" w:styleId="WWWW8Num1ztrue7">
    <w:name w:val="WW-WW8Num1ztrue7"/>
    <w:rPr/>
  </w:style>
  <w:style w:type="character" w:styleId="WWWW8Num1ztrue11">
    <w:name w:val="WW-WW8Num1ztrue11"/>
    <w:rPr/>
  </w:style>
  <w:style w:type="character" w:styleId="WWWW8Num1ztrue12">
    <w:name w:val="WW-WW8Num1ztrue12"/>
    <w:rPr/>
  </w:style>
  <w:style w:type="character" w:styleId="WWWW8Num1ztrue123">
    <w:name w:val="WW-WW8Num1ztrue123"/>
    <w:rPr/>
  </w:style>
  <w:style w:type="character" w:styleId="WWWW8Num1ztrue1234">
    <w:name w:val="WW-WW8Num1ztrue1234"/>
    <w:rPr/>
  </w:style>
  <w:style w:type="character" w:styleId="WWWW8Num1ztrue12345">
    <w:name w:val="WW-WW8Num1ztrue12345"/>
    <w:rPr/>
  </w:style>
  <w:style w:type="character" w:styleId="WWWW8Num1ztrue123456">
    <w:name w:val="WW-WW8Num1ztrue123456"/>
    <w:rPr/>
  </w:style>
  <w:style w:type="character" w:styleId="WW8Num2z0">
    <w:name w:val="WW8Num2z0"/>
    <w:rPr>
      <w:rFonts w:ascii="Symbol" w:hAnsi="Symbol" w:cs="Symbol"/>
    </w:rPr>
  </w:style>
  <w:style w:type="character" w:styleId="WW8Num2z1">
    <w:name w:val="WW8Num2z1"/>
    <w:rPr>
      <w:rFonts w:ascii="Courier New" w:hAnsi="Courier New" w:cs="Courier New"/>
    </w:rPr>
  </w:style>
  <w:style w:type="character" w:styleId="WW8Num2z2">
    <w:name w:val="WW8Num2z2"/>
    <w:rPr>
      <w:rFonts w:ascii="Wingdings" w:hAnsi="Wingdings" w:cs="Wingdings"/>
    </w:rPr>
  </w:style>
  <w:style w:type="character" w:styleId="WW8Num3z0">
    <w:name w:val="WW8Num3z0"/>
    <w:rPr>
      <w:rFonts w:ascii="Symbol" w:hAnsi="Symbol" w:cs="Symbol"/>
    </w:rPr>
  </w:style>
  <w:style w:type="character" w:styleId="WW8Num3z1">
    <w:name w:val="WW8Num3z1"/>
    <w:rPr>
      <w:rFonts w:ascii="Courier New" w:hAnsi="Courier New" w:cs="Courier New"/>
    </w:rPr>
  </w:style>
  <w:style w:type="character" w:styleId="WW8Num3z2">
    <w:name w:val="WW8Num3z2"/>
    <w:rPr>
      <w:rFonts w:ascii="Wingdings" w:hAnsi="Wingdings" w:cs="Wingdings"/>
    </w:rPr>
  </w:style>
  <w:style w:type="character" w:styleId="WW8Num4z0">
    <w:name w:val="WW8Num4z0"/>
    <w:rPr>
      <w:rFonts w:ascii="Symbol" w:hAnsi="Symbol" w:cs="Symbol"/>
    </w:rPr>
  </w:style>
  <w:style w:type="character" w:styleId="WW8Num4z1">
    <w:name w:val="WW8Num4z1"/>
    <w:rPr>
      <w:rFonts w:ascii="Courier New" w:hAnsi="Courier New" w:cs="Courier New"/>
    </w:rPr>
  </w:style>
  <w:style w:type="character" w:styleId="WW8Num4z2">
    <w:name w:val="WW8Num4z2"/>
    <w:rPr>
      <w:rFonts w:ascii="Wingdings" w:hAnsi="Wingdings" w:cs="Wingdings"/>
    </w:rPr>
  </w:style>
  <w:style w:type="character" w:styleId="WW8Num5z0">
    <w:name w:val="WW8Num5z0"/>
    <w:rPr>
      <w:rFonts w:ascii="Symbol" w:hAnsi="Symbol" w:cs="Symbol"/>
    </w:rPr>
  </w:style>
  <w:style w:type="character" w:styleId="WW8Num5z1">
    <w:name w:val="WW8Num5z1"/>
    <w:rPr>
      <w:rFonts w:ascii="Courier New" w:hAnsi="Courier New" w:cs="Courier New"/>
    </w:rPr>
  </w:style>
  <w:style w:type="character" w:styleId="WW8Num5z2">
    <w:name w:val="WW8Num5z2"/>
    <w:rPr>
      <w:rFonts w:ascii="Wingdings" w:hAnsi="Wingdings" w:cs="Wingdings"/>
    </w:rPr>
  </w:style>
  <w:style w:type="character" w:styleId="AbsatzStandardschriftart">
    <w:name w:val="Absatz-Standardschriftart"/>
    <w:rPr/>
  </w:style>
  <w:style w:type="character" w:styleId="Kommentarzeichen">
    <w:name w:val="Kommentarzeichen"/>
    <w:basedOn w:val="AbsatzStandardschriftart"/>
    <w:rPr>
      <w:sz w:val="16"/>
      <w:szCs w:val="16"/>
    </w:rPr>
  </w:style>
  <w:style w:type="character" w:styleId="Starkbetont">
    <w:name w:val="Stark betont"/>
    <w:basedOn w:val="AbsatzStandardschriftart"/>
    <w:rPr>
      <w:b/>
      <w:bCs/>
    </w:rPr>
  </w:style>
  <w:style w:type="character" w:styleId="Internetlink">
    <w:name w:val="Internetlink"/>
    <w:rPr>
      <w:color w:val="000080"/>
      <w:u w:val="single"/>
      <w:lang w:val="zxx" w:eastAsia="zxx" w:bidi="zxx"/>
    </w:rPr>
  </w:style>
  <w:style w:type="paragraph" w:styleId="Berschrift">
    <w:name w:val="Überschrift"/>
    <w:basedOn w:val="Normal"/>
    <w:next w:val="Textkrper"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krper">
    <w:name w:val="Textkörper"/>
    <w:basedOn w:val="Normal"/>
    <w:pPr>
      <w:autoSpaceDE w:val="false"/>
    </w:pPr>
    <w:rPr>
      <w:rFonts w:ascii="Dolly-Roman" w:hAnsi="Dolly-Roman" w:cs="Dolly-Roman"/>
      <w:sz w:val="22"/>
      <w:szCs w:val="22"/>
    </w:rPr>
  </w:style>
  <w:style w:type="paragraph" w:styleId="Liste">
    <w:name w:val="Liste"/>
    <w:basedOn w:val="Textkrper"/>
    <w:pPr/>
    <w:rPr>
      <w:rFonts w:cs="Mangal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pPr>
      <w:suppressLineNumbers/>
    </w:pPr>
    <w:rPr>
      <w:rFonts w:cs="Mangal"/>
    </w:rPr>
  </w:style>
  <w:style w:type="paragraph" w:styleId="Sprechblasentext">
    <w:name w:val="Sprechblasentext"/>
    <w:basedOn w:val="Normal"/>
    <w:pPr/>
    <w:rPr>
      <w:rFonts w:ascii="Tahoma" w:hAnsi="Tahoma" w:cs="Tahoma"/>
      <w:sz w:val="16"/>
      <w:szCs w:val="16"/>
    </w:rPr>
  </w:style>
  <w:style w:type="paragraph" w:styleId="Kommentartext">
    <w:name w:val="Kommentartext"/>
    <w:basedOn w:val="Normal"/>
    <w:pPr/>
    <w:rPr>
      <w:sz w:val="20"/>
      <w:szCs w:val="20"/>
    </w:rPr>
  </w:style>
  <w:style w:type="paragraph" w:styleId="Textkrper2">
    <w:name w:val="Textkörper 2"/>
    <w:basedOn w:val="Normal"/>
    <w:pPr/>
    <w:rPr>
      <w:rFonts w:ascii="Arial" w:hAnsi="Arial" w:cs="Arial"/>
      <w:sz w:val="20"/>
    </w:rPr>
  </w:style>
  <w:style w:type="paragraph" w:styleId="HTMLVorformatiert">
    <w:name w:val="HTML Vorformatiert"/>
    <w:basedOn w:val="Normal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TabellenInhalt">
    <w:name w:val="Tabellen Inhalt"/>
    <w:basedOn w:val="Normal"/>
    <w:pPr>
      <w:suppressLineNumbers/>
    </w:pPr>
    <w:rPr/>
  </w:style>
  <w:style w:type="paragraph" w:styleId="Tabellenberschrift">
    <w:name w:val="Tabellen Überschrift"/>
    <w:basedOn w:val="TabellenInhalt"/>
    <w:pPr>
      <w:suppressLineNumbers/>
      <w:jc w:val="center"/>
    </w:pPr>
    <w:rPr>
      <w:b/>
      <w:bCs/>
    </w:rPr>
  </w:style>
  <w:style w:type="paragraph" w:styleId="VorformatierterText">
    <w:name w:val="Vorformatierter Text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LibreOffice/4.3.7.2$Windows_x86 LibreOffice_project/8a35821d8636a03b8bf4e15b48f59794652c68ba</Application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2015-05-28T14:28:00Z</dcterms:created>
  <dc:language>de-DE</dc:language>
  <cp:revision>1</cp:revision>
  <dc:title> </dc:title>
</cp:coreProperties>
</file>